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5E3FFC">
      <w:pPr>
        <w:pStyle w:val="3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CNC导入DXF文件SOP</w:t>
      </w:r>
    </w:p>
    <w:p w14:paraId="004D8BB3"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新建工程</w:t>
      </w:r>
    </w:p>
    <w:p w14:paraId="079FC224">
      <w:pPr>
        <w:numPr>
          <w:ilvl w:val="0"/>
          <w:numId w:val="0"/>
        </w:numPr>
      </w:pPr>
      <w:r>
        <w:drawing>
          <wp:inline distT="0" distB="0" distL="114300" distR="114300">
            <wp:extent cx="5259705" cy="3371215"/>
            <wp:effectExtent l="0" t="0" r="1714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37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21DB5"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选择LC1000 PLC </w:t>
      </w:r>
    </w:p>
    <w:p w14:paraId="5DB7F83B">
      <w:pPr>
        <w:numPr>
          <w:ilvl w:val="0"/>
          <w:numId w:val="0"/>
        </w:numPr>
      </w:pPr>
      <w:r>
        <w:drawing>
          <wp:inline distT="0" distB="0" distL="114300" distR="114300">
            <wp:extent cx="5259070" cy="3287395"/>
            <wp:effectExtent l="0" t="0" r="1778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32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E3208">
      <w:pPr>
        <w:numPr>
          <w:ilvl w:val="0"/>
          <w:numId w:val="0"/>
        </w:numPr>
      </w:pPr>
    </w:p>
    <w:p w14:paraId="2335AD54">
      <w:pPr>
        <w:numPr>
          <w:ilvl w:val="0"/>
          <w:numId w:val="0"/>
        </w:numPr>
      </w:pPr>
    </w:p>
    <w:p w14:paraId="627104A5">
      <w:pPr>
        <w:numPr>
          <w:ilvl w:val="0"/>
          <w:numId w:val="0"/>
        </w:numPr>
      </w:pPr>
    </w:p>
    <w:p w14:paraId="2FAA6326">
      <w:pPr>
        <w:numPr>
          <w:ilvl w:val="0"/>
          <w:numId w:val="0"/>
        </w:numPr>
      </w:pPr>
    </w:p>
    <w:p w14:paraId="35350502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添加CNC程序</w:t>
      </w:r>
    </w:p>
    <w:p w14:paraId="78B0E74F">
      <w:pPr>
        <w:numPr>
          <w:numId w:val="0"/>
        </w:numPr>
        <w:ind w:leftChars="0"/>
      </w:pPr>
      <w:r>
        <w:drawing>
          <wp:inline distT="0" distB="0" distL="114300" distR="114300">
            <wp:extent cx="5268595" cy="3254375"/>
            <wp:effectExtent l="0" t="0" r="825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5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C21D7"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编译模式选择CNC_REF</w:t>
      </w:r>
    </w:p>
    <w:p w14:paraId="3B815152">
      <w:pPr>
        <w:numPr>
          <w:numId w:val="0"/>
        </w:numPr>
        <w:ind w:leftChars="0"/>
      </w:pPr>
      <w:r>
        <w:drawing>
          <wp:inline distT="0" distB="0" distL="114300" distR="114300">
            <wp:extent cx="5270500" cy="3206750"/>
            <wp:effectExtent l="0" t="0" r="6350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FC2CF">
      <w:pPr>
        <w:numPr>
          <w:numId w:val="0"/>
        </w:numPr>
        <w:ind w:leftChars="0"/>
      </w:pPr>
    </w:p>
    <w:p w14:paraId="0E991944">
      <w:pPr>
        <w:numPr>
          <w:numId w:val="0"/>
        </w:numPr>
        <w:ind w:leftChars="0"/>
      </w:pPr>
    </w:p>
    <w:p w14:paraId="0F43E446">
      <w:pPr>
        <w:numPr>
          <w:numId w:val="0"/>
        </w:numPr>
        <w:ind w:leftChars="0"/>
      </w:pPr>
    </w:p>
    <w:p w14:paraId="71BCEE2D">
      <w:pPr>
        <w:numPr>
          <w:numId w:val="0"/>
        </w:numPr>
        <w:ind w:leftChars="0"/>
      </w:pPr>
    </w:p>
    <w:p w14:paraId="67B04511">
      <w:pPr>
        <w:numPr>
          <w:numId w:val="0"/>
        </w:numPr>
        <w:ind w:leftChars="0"/>
      </w:pPr>
    </w:p>
    <w:p w14:paraId="0C955C00">
      <w:pPr>
        <w:numPr>
          <w:numId w:val="0"/>
        </w:numPr>
        <w:ind w:leftChars="0"/>
      </w:pPr>
    </w:p>
    <w:p w14:paraId="4C4ECBA8">
      <w:pPr>
        <w:numPr>
          <w:numId w:val="0"/>
        </w:numPr>
        <w:ind w:leftChars="0"/>
      </w:pPr>
    </w:p>
    <w:p w14:paraId="0021CDCC">
      <w:pPr>
        <w:numPr>
          <w:numId w:val="0"/>
        </w:numPr>
        <w:ind w:leftChars="0"/>
      </w:pPr>
    </w:p>
    <w:p w14:paraId="02C1BE0B"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3.导入生成的DXF文件</w:t>
      </w:r>
    </w:p>
    <w:p w14:paraId="6E5625C4">
      <w:pPr>
        <w:numPr>
          <w:numId w:val="0"/>
        </w:numPr>
        <w:ind w:leftChars="0"/>
      </w:pPr>
      <w:r>
        <w:drawing>
          <wp:inline distT="0" distB="0" distL="114300" distR="114300">
            <wp:extent cx="4587240" cy="2428875"/>
            <wp:effectExtent l="0" t="0" r="381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8724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94605">
      <w:pPr>
        <w:numPr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确认导入</w:t>
      </w:r>
    </w:p>
    <w:p w14:paraId="78F77D1A">
      <w:pPr>
        <w:numPr>
          <w:numId w:val="0"/>
        </w:numPr>
        <w:ind w:leftChars="0"/>
      </w:pPr>
      <w:r>
        <w:drawing>
          <wp:inline distT="0" distB="0" distL="114300" distR="114300">
            <wp:extent cx="4638040" cy="2448560"/>
            <wp:effectExtent l="0" t="0" r="1016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38040" cy="24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E2CC0"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完成导入，自动生成相关点位</w:t>
      </w:r>
    </w:p>
    <w:p w14:paraId="0C2B0B3F"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4698365" cy="2526030"/>
            <wp:effectExtent l="0" t="0" r="6985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98365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C544E"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可在G代码编辑区，点到点之间插入相关G代码，完善整套程序，此处不过多赘述。</w:t>
      </w:r>
    </w:p>
    <w:p w14:paraId="7370EA1C">
      <w:pPr>
        <w:numPr>
          <w:numId w:val="0"/>
        </w:numPr>
        <w:ind w:leftChars="0"/>
        <w:rPr>
          <w:rFonts w:hint="eastAsia"/>
          <w:lang w:val="en-US" w:eastAsia="zh-CN"/>
        </w:rPr>
      </w:pPr>
    </w:p>
    <w:p w14:paraId="6624ECF5"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4.添加两个虚轴X,Y，有实轴的可后续链接至实轴。</w:t>
      </w:r>
    </w:p>
    <w:p w14:paraId="69A3BD2F">
      <w:pPr>
        <w:numPr>
          <w:numId w:val="0"/>
        </w:numPr>
        <w:ind w:leftChars="0"/>
      </w:pPr>
      <w:r>
        <w:drawing>
          <wp:inline distT="0" distB="0" distL="114300" distR="114300">
            <wp:extent cx="5250180" cy="2743200"/>
            <wp:effectExtent l="0" t="0" r="762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235325"/>
            <wp:effectExtent l="0" t="0" r="1016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3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49681">
      <w:pPr>
        <w:numPr>
          <w:numId w:val="0"/>
        </w:numPr>
        <w:ind w:leftChars="0"/>
      </w:pPr>
    </w:p>
    <w:p w14:paraId="40286102">
      <w:pPr>
        <w:numPr>
          <w:numId w:val="0"/>
        </w:numPr>
        <w:ind w:leftChars="0"/>
      </w:pPr>
    </w:p>
    <w:p w14:paraId="1464C0BF">
      <w:pPr>
        <w:numPr>
          <w:numId w:val="0"/>
        </w:numPr>
        <w:ind w:leftChars="0"/>
      </w:pPr>
    </w:p>
    <w:p w14:paraId="4E3D6E19">
      <w:pPr>
        <w:numPr>
          <w:numId w:val="0"/>
        </w:numPr>
        <w:ind w:leftChars="0"/>
      </w:pPr>
    </w:p>
    <w:p w14:paraId="1FEDABE9">
      <w:pPr>
        <w:numPr>
          <w:numId w:val="0"/>
        </w:numPr>
        <w:ind w:leftChars="0"/>
      </w:pPr>
    </w:p>
    <w:p w14:paraId="269D4EDA">
      <w:pPr>
        <w:numPr>
          <w:numId w:val="0"/>
        </w:numPr>
        <w:ind w:leftChars="0"/>
      </w:pPr>
    </w:p>
    <w:p w14:paraId="2585ECFD">
      <w:pPr>
        <w:numPr>
          <w:numId w:val="0"/>
        </w:numPr>
        <w:ind w:leftChars="0"/>
      </w:pPr>
    </w:p>
    <w:p w14:paraId="5D7584F9">
      <w:pPr>
        <w:numPr>
          <w:numId w:val="0"/>
        </w:numPr>
        <w:ind w:leftChars="0"/>
      </w:pPr>
    </w:p>
    <w:p w14:paraId="5D249FD9">
      <w:pPr>
        <w:numPr>
          <w:numId w:val="0"/>
        </w:numPr>
        <w:ind w:leftChars="0"/>
      </w:pPr>
    </w:p>
    <w:p w14:paraId="0891B008">
      <w:pPr>
        <w:numPr>
          <w:numId w:val="0"/>
        </w:numPr>
        <w:ind w:leftChars="0"/>
      </w:pPr>
    </w:p>
    <w:p w14:paraId="0B21DBFF">
      <w:pPr>
        <w:numPr>
          <w:numId w:val="0"/>
        </w:numPr>
        <w:ind w:leftChars="0"/>
      </w:pPr>
    </w:p>
    <w:p w14:paraId="03B834BC">
      <w:pPr>
        <w:numPr>
          <w:numId w:val="0"/>
        </w:numPr>
        <w:ind w:leftChars="0"/>
      </w:pPr>
    </w:p>
    <w:p w14:paraId="22E0ACB1">
      <w:pPr>
        <w:numPr>
          <w:ilvl w:val="0"/>
          <w:numId w:val="2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声明相关功能块及变量</w:t>
      </w:r>
    </w:p>
    <w:p w14:paraId="1255F9B2">
      <w:pPr>
        <w:numPr>
          <w:numId w:val="0"/>
        </w:numPr>
      </w:pPr>
      <w:r>
        <w:drawing>
          <wp:inline distT="0" distB="0" distL="114300" distR="114300">
            <wp:extent cx="5266690" cy="3222625"/>
            <wp:effectExtent l="0" t="0" r="10160" b="158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0FA60"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程序组成</w:t>
      </w:r>
    </w:p>
    <w:p w14:paraId="0BC2239E"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Power：两轴电源</w:t>
      </w:r>
    </w:p>
    <w:p w14:paraId="605DAD0B">
      <w:pPr>
        <w:numPr>
          <w:numId w:val="0"/>
        </w:numPr>
        <w:ind w:leftChars="0"/>
      </w:pPr>
      <w:r>
        <w:drawing>
          <wp:inline distT="0" distB="0" distL="114300" distR="114300">
            <wp:extent cx="5271135" cy="1835785"/>
            <wp:effectExtent l="0" t="0" r="5715" b="1206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CE79C"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解码器：将CNC轨迹点位解码，输出预处理的路径</w:t>
      </w:r>
    </w:p>
    <w:p w14:paraId="4AF2578E">
      <w:pPr>
        <w:numPr>
          <w:numId w:val="0"/>
        </w:numPr>
        <w:ind w:leftChars="0"/>
      </w:pPr>
      <w:r>
        <w:drawing>
          <wp:inline distT="0" distB="0" distL="114300" distR="114300">
            <wp:extent cx="5046980" cy="2592070"/>
            <wp:effectExtent l="0" t="0" r="1270" b="177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A3992"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插补器：决定了轴联动过程中移动顺序，位置，方向和速度</w:t>
      </w:r>
    </w:p>
    <w:p w14:paraId="3D0CCAED">
      <w:pPr>
        <w:numPr>
          <w:numId w:val="0"/>
        </w:numPr>
        <w:ind w:leftChars="0"/>
      </w:pPr>
      <w:r>
        <w:drawing>
          <wp:inline distT="0" distB="0" distL="114300" distR="114300">
            <wp:extent cx="5267325" cy="2966720"/>
            <wp:effectExtent l="0" t="0" r="9525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D9A18"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逆解：将插补出的数据转换成轴需要的坐标位置，根据实际机构选择不同的逆解模型</w:t>
      </w:r>
    </w:p>
    <w:p w14:paraId="631A2062">
      <w:pPr>
        <w:numPr>
          <w:numId w:val="0"/>
        </w:numPr>
        <w:ind w:leftChars="0"/>
      </w:pPr>
      <w:r>
        <w:drawing>
          <wp:inline distT="0" distB="0" distL="114300" distR="114300">
            <wp:extent cx="5267325" cy="654050"/>
            <wp:effectExtent l="0" t="0" r="9525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5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3164F">
      <w:pPr>
        <w:numPr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轴控：根据逆解出的位置，促成轴的实际运动</w:t>
      </w:r>
    </w:p>
    <w:p w14:paraId="4A9B9863">
      <w:pPr>
        <w:numPr>
          <w:numId w:val="0"/>
        </w:numPr>
        <w:ind w:leftChars="0"/>
      </w:pPr>
      <w:r>
        <w:drawing>
          <wp:inline distT="0" distB="0" distL="114300" distR="114300">
            <wp:extent cx="5270500" cy="2934970"/>
            <wp:effectExtent l="0" t="0" r="6350" b="177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3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41B2B">
      <w:pPr>
        <w:numPr>
          <w:numId w:val="0"/>
        </w:numPr>
        <w:ind w:leftChars="0"/>
      </w:pPr>
    </w:p>
    <w:p w14:paraId="1C4B9D71">
      <w:pPr>
        <w:numPr>
          <w:numId w:val="0"/>
        </w:numPr>
        <w:ind w:leftChars="0"/>
      </w:pPr>
    </w:p>
    <w:p w14:paraId="64AAB363">
      <w:pPr>
        <w:numPr>
          <w:numId w:val="0"/>
        </w:numPr>
        <w:ind w:leftChars="0"/>
      </w:pPr>
    </w:p>
    <w:p w14:paraId="27BDC19C">
      <w:pPr>
        <w:numPr>
          <w:numId w:val="0"/>
        </w:numPr>
        <w:ind w:leftChars="0"/>
      </w:pPr>
    </w:p>
    <w:p w14:paraId="4E87B14A">
      <w:pPr>
        <w:numPr>
          <w:numId w:val="0"/>
        </w:numPr>
        <w:ind w:leftChars="0"/>
      </w:pPr>
    </w:p>
    <w:p w14:paraId="3F6E2EB6">
      <w:pPr>
        <w:numPr>
          <w:numId w:val="0"/>
        </w:numPr>
        <w:ind w:leftChars="0"/>
      </w:pPr>
    </w:p>
    <w:p w14:paraId="68BBD2C0">
      <w:pPr>
        <w:numPr>
          <w:numId w:val="0"/>
        </w:numPr>
        <w:ind w:leftChars="0"/>
      </w:pPr>
    </w:p>
    <w:p w14:paraId="63EDF0A2"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轨迹运行</w:t>
      </w:r>
    </w:p>
    <w:p w14:paraId="6A268DAF"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返回CNC编辑器，在首行插入速度指令，否则触发功能块无动作</w:t>
      </w:r>
    </w:p>
    <w:p w14:paraId="4DCDAB4F">
      <w:pPr>
        <w:numPr>
          <w:numId w:val="0"/>
        </w:numPr>
        <w:ind w:leftChars="0"/>
      </w:pPr>
      <w:r>
        <w:drawing>
          <wp:inline distT="0" distB="0" distL="114300" distR="114300">
            <wp:extent cx="5268595" cy="2913380"/>
            <wp:effectExtent l="0" t="0" r="8255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1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4B0DA">
      <w:pPr>
        <w:numPr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此时触发下图所示的两个变量，再监控两个虚拟轴的位置变化，可观察到轴按图示轨迹运行</w:t>
      </w:r>
      <w:bookmarkStart w:id="0" w:name="_GoBack"/>
      <w:bookmarkEnd w:id="0"/>
      <w:r>
        <w:rPr>
          <w:rFonts w:hint="eastAsia"/>
          <w:lang w:val="en-US" w:eastAsia="zh-CN"/>
        </w:rPr>
        <w:t>。</w:t>
      </w:r>
    </w:p>
    <w:p w14:paraId="4E42DC46"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0340" cy="2680970"/>
            <wp:effectExtent l="0" t="0" r="1651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AAABFC1"/>
    <w:multiLevelType w:val="singleLevel"/>
    <w:tmpl w:val="8AAABFC1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05794A7"/>
    <w:multiLevelType w:val="singleLevel"/>
    <w:tmpl w:val="005794A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6761927"/>
    <w:rsid w:val="33585FE0"/>
    <w:rsid w:val="512E4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11</Words>
  <Characters>17</Characters>
  <Lines>0</Lines>
  <Paragraphs>0</Paragraphs>
  <TotalTime>35</TotalTime>
  <ScaleCrop>false</ScaleCrop>
  <LinksUpToDate>false</LinksUpToDate>
  <CharactersWithSpaces>17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2025-05-14T05:03:00Z</dcterms:created>
  <dc:creator>L410</dc:creator>
  <cp:lastModifiedBy>有人</cp:lastModifiedBy>
  <dcterms:modified xsi:type="dcterms:W3CDTF">2025-05-14T09:13:50Z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eyJoZGlkIjoiMjY0OWJhYmIwZGM3MTVlZTZhNWI5Njc2NDJkODMwMDUiLCJ1c2VySWQiOiIyNDk4NzQ2MjMifQ==</vt:lpwstr>
  </property>
  <property fmtid="{D5CDD505-2E9C-101B-9397-08002B2CF9AE}" pid="4" name="ICV">
    <vt:lpwstr>E1B3C98B281542D38D28EC1C312C5779_12</vt:lpwstr>
  </property>
</Properties>
</file>