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365DA">
      <w:pPr>
        <w:spacing w:before="53"/>
        <w:ind w:left="2853"/>
        <w:rPr>
          <w:sz w:val="18"/>
        </w:rPr>
      </w:pPr>
      <w:r>
        <w:rPr>
          <w:rFonts w:hint="eastAsia"/>
          <w:spacing w:val="-1"/>
          <w:sz w:val="18"/>
        </w:rPr>
        <w:t>凌臣科技</w:t>
      </w:r>
      <w:r>
        <w:rPr>
          <w:spacing w:val="-1"/>
          <w:sz w:val="18"/>
        </w:rPr>
        <w:t>：</w:t>
      </w:r>
      <w:bookmarkStart w:id="0" w:name="_Hlk129601208"/>
      <w:r>
        <w:rPr>
          <w:rFonts w:hint="eastAsia"/>
          <w:spacing w:val="-1"/>
          <w:sz w:val="18"/>
        </w:rPr>
        <w:t>推动工业文明发展、让装备智造更简单</w:t>
      </w:r>
      <w:bookmarkEnd w:id="0"/>
    </w:p>
    <w:p w14:paraId="28C0039E">
      <w:pPr>
        <w:pStyle w:val="5"/>
        <w:ind w:left="0"/>
        <w:rPr>
          <w:sz w:val="17"/>
        </w:rPr>
      </w:pPr>
      <w:r>
        <w:pict>
          <v:rect id="docshape1" o:spid="_x0000_s2050" o:spt="1" style="position:absolute;left:0pt;margin-left:88.6pt;margin-top:12.15pt;height:0.7pt;width:418.25pt;mso-position-horizontal-relative:page;mso-wrap-distance-bottom:0pt;mso-wrap-distance-top:0pt;z-index:-2516572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 w14:paraId="3226390E">
      <w:pPr>
        <w:pStyle w:val="5"/>
        <w:spacing w:before="5"/>
        <w:ind w:left="0"/>
        <w:rPr>
          <w:sz w:val="10"/>
        </w:rPr>
      </w:pPr>
    </w:p>
    <w:p w14:paraId="756C21FB">
      <w:pPr>
        <w:rPr>
          <w:sz w:val="10"/>
        </w:rPr>
        <w:sectPr>
          <w:type w:val="continuous"/>
          <w:pgSz w:w="11910" w:h="16840"/>
          <w:pgMar w:top="780" w:right="980" w:bottom="280" w:left="1660" w:header="720" w:footer="720" w:gutter="0"/>
          <w:cols w:space="720" w:num="1"/>
        </w:sectPr>
      </w:pPr>
    </w:p>
    <w:p w14:paraId="79DE5824">
      <w:pPr>
        <w:pStyle w:val="5"/>
        <w:spacing w:before="5"/>
        <w:ind w:left="0"/>
        <w:rPr>
          <w:sz w:val="46"/>
        </w:rPr>
      </w:pPr>
    </w:p>
    <w:p w14:paraId="1C50DFF4">
      <w:pPr>
        <w:pStyle w:val="8"/>
        <w:sectPr>
          <w:type w:val="continuous"/>
          <w:pgSz w:w="11910" w:h="16840"/>
          <w:pgMar w:top="780" w:right="980" w:bottom="280" w:left="1660" w:header="720" w:footer="720" w:gutter="0"/>
          <w:cols w:equalWidth="0" w:num="2">
            <w:col w:w="2147" w:space="40"/>
            <w:col w:w="7083"/>
          </w:cols>
        </w:sectPr>
      </w:pPr>
      <w:r>
        <w:rPr>
          <w:rFonts w:ascii="Calibri" w:eastAsia="Calibri"/>
        </w:rPr>
        <w:t>L</w:t>
      </w:r>
      <w:r>
        <w:rPr>
          <w:rFonts w:hint="eastAsia" w:ascii="Calibri" w:eastAsia="Calibri"/>
        </w:rPr>
        <w:t xml:space="preserve">C1000  </w:t>
      </w:r>
      <w:r>
        <w:rPr>
          <w:rFonts w:hint="eastAsia" w:ascii="Calibri" w:eastAsia="宋体"/>
          <w:lang w:val="en-US" w:eastAsia="zh-CN"/>
        </w:rPr>
        <w:t>自由口</w:t>
      </w:r>
      <w:r>
        <w:rPr>
          <w:rFonts w:hint="eastAsia" w:ascii="Calibri" w:eastAsia="Calibri"/>
        </w:rPr>
        <w:t>TCP通讯SOP</w:t>
      </w:r>
    </w:p>
    <w:p w14:paraId="06DD262D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1.安装凌臣LCTUtil功能库。</w:t>
      </w:r>
    </w:p>
    <w:p w14:paraId="032C671B">
      <w:pPr>
        <w:pStyle w:val="5"/>
        <w:numPr>
          <w:numId w:val="0"/>
        </w:numPr>
        <w:spacing w:before="32" w:line="242" w:lineRule="auto"/>
        <w:ind w:right="816" w:rightChars="0"/>
        <w:rPr>
          <w:rFonts w:hint="eastAsia" w:ascii="Calibri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89535</wp:posOffset>
            </wp:positionV>
            <wp:extent cx="3975735" cy="2960370"/>
            <wp:effectExtent l="0" t="0" r="1905" b="114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21102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  <w:bookmarkStart w:id="1" w:name="_GoBack"/>
      <w:bookmarkEnd w:id="1"/>
    </w:p>
    <w:p w14:paraId="7C029E2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D33A4C7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B3AB7E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7B6637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28A75C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1EC99D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EF5063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436E2A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AE134B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21E737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D5288C0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3EC02C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101063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BBB66CC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2.安装功能库操作说明：</w:t>
      </w:r>
    </w:p>
    <w:p w14:paraId="5EF295F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9525</wp:posOffset>
            </wp:positionV>
            <wp:extent cx="3380105" cy="2231390"/>
            <wp:effectExtent l="0" t="0" r="3175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EE180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4290F6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8D1D937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361711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FD74556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F2A6DD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8D1BE4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FCE895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D6BA10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4CAF3F0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EBD9F0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24130</wp:posOffset>
            </wp:positionV>
            <wp:extent cx="4222115" cy="2950845"/>
            <wp:effectExtent l="0" t="0" r="14605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18250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10011C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B94F21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F46291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D331E22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C94A96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412D05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6FBE18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7F1A83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FE23F9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339C1E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1F3213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AA42C0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B6F846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4D431A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B9E05C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6BF69DA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PC端调试助手做客户端，PLC做服务器不同数据类型读写处理</w:t>
      </w:r>
    </w:p>
    <w:p w14:paraId="3C995360">
      <w:pPr>
        <w:numPr>
          <w:numId w:val="0"/>
        </w:numPr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1.PLC程序实例TCP服务器“FreeTcpSever”功能块。按F2快捷键搜索FreeTcpSever选择带参数插入。</w:t>
      </w:r>
    </w:p>
    <w:p w14:paraId="0BF07E3E">
      <w:pPr>
        <w:numPr>
          <w:numId w:val="0"/>
        </w:numPr>
        <w:rPr>
          <w:rFonts w:hint="eastAsia"/>
          <w:lang w:val="en-US" w:eastAsia="zh-CN"/>
        </w:rPr>
      </w:pPr>
    </w:p>
    <w:p w14:paraId="5C880EA9">
      <w:pPr>
        <w:numPr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29210</wp:posOffset>
            </wp:positionV>
            <wp:extent cx="4358005" cy="2955290"/>
            <wp:effectExtent l="0" t="0" r="635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148617">
      <w:pPr>
        <w:numPr>
          <w:numId w:val="0"/>
        </w:numPr>
        <w:rPr>
          <w:rFonts w:hint="eastAsia"/>
          <w:lang w:val="en-US" w:eastAsia="zh-CN"/>
        </w:rPr>
      </w:pPr>
    </w:p>
    <w:p w14:paraId="2D48EE7A">
      <w:pPr>
        <w:numPr>
          <w:numId w:val="0"/>
        </w:numPr>
        <w:rPr>
          <w:rFonts w:hint="eastAsia"/>
          <w:lang w:val="en-US" w:eastAsia="zh-CN"/>
        </w:rPr>
      </w:pPr>
    </w:p>
    <w:p w14:paraId="44CD5DEB">
      <w:pPr>
        <w:numPr>
          <w:numId w:val="0"/>
        </w:numPr>
        <w:rPr>
          <w:rFonts w:hint="eastAsia"/>
          <w:lang w:val="en-US" w:eastAsia="zh-CN"/>
        </w:rPr>
      </w:pPr>
    </w:p>
    <w:p w14:paraId="7AA654CA">
      <w:pPr>
        <w:numPr>
          <w:numId w:val="0"/>
        </w:numPr>
        <w:rPr>
          <w:rFonts w:hint="eastAsia"/>
          <w:lang w:val="en-US" w:eastAsia="zh-CN"/>
        </w:rPr>
      </w:pPr>
    </w:p>
    <w:p w14:paraId="45964312">
      <w:pPr>
        <w:numPr>
          <w:numId w:val="0"/>
        </w:numPr>
        <w:rPr>
          <w:rFonts w:hint="eastAsia"/>
          <w:lang w:val="en-US" w:eastAsia="zh-CN"/>
        </w:rPr>
      </w:pPr>
    </w:p>
    <w:p w14:paraId="3F616D08">
      <w:pPr>
        <w:numPr>
          <w:numId w:val="0"/>
        </w:numPr>
        <w:rPr>
          <w:rFonts w:hint="eastAsia"/>
          <w:lang w:val="en-US" w:eastAsia="zh-CN"/>
        </w:rPr>
      </w:pPr>
    </w:p>
    <w:p w14:paraId="33BCFBEF">
      <w:pPr>
        <w:numPr>
          <w:numId w:val="0"/>
        </w:numPr>
        <w:rPr>
          <w:rFonts w:hint="eastAsia"/>
          <w:lang w:val="en-US" w:eastAsia="zh-CN"/>
        </w:rPr>
      </w:pPr>
    </w:p>
    <w:p w14:paraId="69D8E2E0">
      <w:pPr>
        <w:numPr>
          <w:numId w:val="0"/>
        </w:numPr>
        <w:rPr>
          <w:rFonts w:hint="eastAsia"/>
          <w:lang w:val="en-US" w:eastAsia="zh-CN"/>
        </w:rPr>
      </w:pPr>
    </w:p>
    <w:p w14:paraId="68FF0343">
      <w:pPr>
        <w:numPr>
          <w:numId w:val="0"/>
        </w:numPr>
        <w:rPr>
          <w:rFonts w:hint="eastAsia"/>
          <w:lang w:val="en-US" w:eastAsia="zh-CN"/>
        </w:rPr>
      </w:pPr>
    </w:p>
    <w:p w14:paraId="3FF2355A">
      <w:pPr>
        <w:numPr>
          <w:numId w:val="0"/>
        </w:numPr>
        <w:rPr>
          <w:rFonts w:hint="eastAsia"/>
          <w:lang w:val="en-US" w:eastAsia="zh-CN"/>
        </w:rPr>
      </w:pPr>
    </w:p>
    <w:p w14:paraId="13AEC115">
      <w:pPr>
        <w:numPr>
          <w:numId w:val="0"/>
        </w:numPr>
        <w:rPr>
          <w:rFonts w:hint="eastAsia"/>
          <w:lang w:val="en-US" w:eastAsia="zh-CN"/>
        </w:rPr>
      </w:pPr>
    </w:p>
    <w:p w14:paraId="606D6826">
      <w:pPr>
        <w:numPr>
          <w:numId w:val="0"/>
        </w:numPr>
        <w:rPr>
          <w:rFonts w:hint="eastAsia"/>
          <w:lang w:val="en-US" w:eastAsia="zh-CN"/>
        </w:rPr>
      </w:pPr>
    </w:p>
    <w:p w14:paraId="4EE92FD2">
      <w:pPr>
        <w:numPr>
          <w:numId w:val="0"/>
        </w:numPr>
        <w:rPr>
          <w:rFonts w:hint="eastAsia"/>
          <w:lang w:val="en-US" w:eastAsia="zh-CN"/>
        </w:rPr>
      </w:pPr>
    </w:p>
    <w:p w14:paraId="6968EC6D">
      <w:pPr>
        <w:numPr>
          <w:numId w:val="0"/>
        </w:numPr>
        <w:rPr>
          <w:rFonts w:hint="eastAsia"/>
          <w:lang w:val="en-US" w:eastAsia="zh-CN"/>
        </w:rPr>
      </w:pPr>
    </w:p>
    <w:p w14:paraId="34B92F63">
      <w:pPr>
        <w:numPr>
          <w:numId w:val="0"/>
        </w:numPr>
        <w:rPr>
          <w:rFonts w:hint="eastAsia"/>
          <w:lang w:val="en-US" w:eastAsia="zh-CN"/>
        </w:rPr>
      </w:pPr>
    </w:p>
    <w:p w14:paraId="6566640E">
      <w:pPr>
        <w:numPr>
          <w:numId w:val="0"/>
        </w:numPr>
        <w:rPr>
          <w:rFonts w:hint="eastAsia"/>
          <w:lang w:val="en-US" w:eastAsia="zh-CN"/>
        </w:rPr>
      </w:pPr>
    </w:p>
    <w:p w14:paraId="7A0B5B6A">
      <w:pPr>
        <w:rPr>
          <w:rFonts w:hint="eastAsia"/>
          <w:lang w:val="en-US" w:eastAsia="zh-CN"/>
        </w:rPr>
      </w:pPr>
    </w:p>
    <w:p w14:paraId="5BBE22E0">
      <w:pPr>
        <w:numPr>
          <w:numId w:val="0"/>
        </w:numPr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2.PLC程序实例TCP服务器“FreeTcpSever”功能块，配置服务器IP、本地端口，接收数据缓存器起点及接收数据最大长度，发送数据缓存器起点与发送数据长度。</w:t>
      </w:r>
    </w:p>
    <w:p w14:paraId="1CEE7B5A">
      <w:pPr>
        <w:numPr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97155</wp:posOffset>
            </wp:positionV>
            <wp:extent cx="4592320" cy="3429635"/>
            <wp:effectExtent l="0" t="0" r="10160" b="1460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951F2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E8653F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EAB344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86ABCA7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ABB6D1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888C085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E5FCFB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B72EC70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9BCE51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6EE3FD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6ED211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1C8DCA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029AA9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5962E9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ACA52C2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6CC68F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8A49EB6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5DEA4B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B033142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5BEA34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B0933EE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D0BB92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7111E2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E11F58F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99D7884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3.打开服务器，调试助手配置服务器IP地址及相同端口号，可以根据xConnectionSuc引脚状态判断是否连接成功。</w:t>
      </w:r>
    </w:p>
    <w:p w14:paraId="5715149E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149860</wp:posOffset>
            </wp:positionV>
            <wp:extent cx="5345430" cy="3006090"/>
            <wp:effectExtent l="0" t="0" r="3810" b="1143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0557F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005812D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6F01B60F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745F1A0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26E6058E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451DFE9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3185EF1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0D788CEE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53928937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624ADA2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5669AE76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1BAC7026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135C63E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401CAE2E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29BC2DE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6FAB27E5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57DD8AE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576B2D63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4.测试byte数组类型数据接收：调试助手发送‘abcde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接收数据缓存器为BYTE类型数组转换根据ASCII码表对应十进制为97、98、99、100、101，数据长度为5，传输基本单位为BYTE。</w:t>
      </w:r>
    </w:p>
    <w:p w14:paraId="3DD288F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120015</wp:posOffset>
            </wp:positionV>
            <wp:extent cx="5796915" cy="3034030"/>
            <wp:effectExtent l="0" t="0" r="9525" b="139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3939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2C2CC1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94BA9B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6DB42E2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C7827F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C98D180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C23144F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A0DFD9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CB4222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3A3AFD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FCC3D7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8502E4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188487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F01A54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A46DBE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DDDFC70">
      <w:pPr>
        <w:numPr>
          <w:ilvl w:val="0"/>
          <w:numId w:val="0"/>
        </w:numPr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注意：接收数据内部缓存区‘arrRecvDataBuffer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不会自动清除，使用时需注意两次数据重叠接收，建议接收完成后立马清除接收缓存，值赋值给使用变量。</w:t>
      </w:r>
    </w:p>
    <w:p w14:paraId="414ABB2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5884545" cy="1094105"/>
            <wp:effectExtent l="0" t="0" r="13335" b="317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7D049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3AFCD67F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81BF55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EB08BD5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174019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36D9009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 w:firstLine="440" w:firstLineChars="200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</w:p>
    <w:p w14:paraId="4B23A9E9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5.测试byte数组类型数据发送：PLC发送‘11、22、33、44、55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调试助手接收数据对应十六进制为0B、16、21、2C、37，数据长度为5。</w:t>
      </w:r>
    </w:p>
    <w:p w14:paraId="3A20037F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68580</wp:posOffset>
            </wp:positionV>
            <wp:extent cx="5886450" cy="2513965"/>
            <wp:effectExtent l="0" t="0" r="11430" b="6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701423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0042CF7B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2A2C2635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52A30918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0D425865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3CE6FD51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09CF8E13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4619D55B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4C1B7309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02FDB128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3297DBA3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38837F97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19682FC5">
      <w:pPr>
        <w:numPr>
          <w:ilvl w:val="0"/>
          <w:numId w:val="0"/>
        </w:numPr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注意：发送数据内部缓存区发送后同样不会自动清除，防止发送数据错误发送数据长度一定要与实际发送长度相同，基本单位为BYTE。</w:t>
      </w:r>
    </w:p>
    <w:p w14:paraId="64B724BA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296F12E2">
      <w:pPr>
        <w:pStyle w:val="4"/>
        <w:numPr>
          <w:ilvl w:val="0"/>
          <w:numId w:val="1"/>
        </w:numPr>
        <w:bidi w:val="0"/>
        <w:rPr>
          <w:rFonts w:hint="eastAsia" w:ascii="Calibri"/>
          <w:lang w:val="en-US" w:eastAsia="zh-CN"/>
        </w:rPr>
      </w:pPr>
      <w:r>
        <w:rPr>
          <w:rFonts w:hint="eastAsia"/>
          <w:lang w:val="en-US" w:eastAsia="zh-CN"/>
        </w:rPr>
        <w:t>PLC做客户端，PC调试助手做服务器不同数据类型读写处理</w:t>
      </w:r>
    </w:p>
    <w:p w14:paraId="5217CD5B">
      <w:pPr>
        <w:numPr>
          <w:ilvl w:val="0"/>
          <w:numId w:val="0"/>
        </w:numPr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1.PLC程序实例TCP服务器“FreeTcpClient”功能块。按F2快捷键搜索FreeTcpClient选择带参数插入。</w:t>
      </w:r>
    </w:p>
    <w:p w14:paraId="3A87DD24">
      <w:pPr>
        <w:rPr>
          <w:rFonts w:hint="eastAsia"/>
          <w:lang w:val="en-US" w:eastAsia="zh-CN"/>
        </w:rPr>
      </w:pPr>
    </w:p>
    <w:p w14:paraId="0D8E17C1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3175</wp:posOffset>
            </wp:positionV>
            <wp:extent cx="5396230" cy="3373755"/>
            <wp:effectExtent l="0" t="0" r="1397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6EFE1D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eastAsia" w:ascii="Calibri"/>
          <w:lang w:val="en-US" w:eastAsia="zh-CN"/>
        </w:rPr>
      </w:pPr>
    </w:p>
    <w:p w14:paraId="35D2C163">
      <w:pPr>
        <w:pStyle w:val="5"/>
        <w:numPr>
          <w:ilvl w:val="0"/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461F517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560AC0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1CB80B7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BD729D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CFA834E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C50A19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158B645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837F0F2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E00CC7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047D0D6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B1BA00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C98B68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A25FE9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ACCCD96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3276BD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0BF8E6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90A02C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5BAA61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4B86B1A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6861E9B">
      <w:pPr>
        <w:numPr>
          <w:ilvl w:val="0"/>
          <w:numId w:val="0"/>
        </w:numPr>
        <w:ind w:firstLine="440" w:firstLineChars="200"/>
        <w:rPr>
          <w:rFonts w:hint="default" w:ascii="Calibri"/>
          <w:lang w:val="en-US" w:eastAsia="zh-CN"/>
        </w:rPr>
      </w:pPr>
    </w:p>
    <w:p w14:paraId="2E3E13AD">
      <w:pPr>
        <w:numPr>
          <w:ilvl w:val="0"/>
          <w:numId w:val="0"/>
        </w:numPr>
        <w:ind w:firstLine="440" w:firstLineChars="200"/>
        <w:rPr>
          <w:rFonts w:hint="default" w:ascii="Calibri"/>
          <w:lang w:val="en-US" w:eastAsia="zh-CN"/>
        </w:rPr>
      </w:pPr>
    </w:p>
    <w:p w14:paraId="5103D9C4">
      <w:pPr>
        <w:numPr>
          <w:ilvl w:val="0"/>
          <w:numId w:val="0"/>
        </w:numPr>
        <w:ind w:firstLine="440" w:firstLineChars="200"/>
        <w:rPr>
          <w:rFonts w:hint="default" w:ascii="Calibri"/>
          <w:lang w:val="en-US" w:eastAsia="zh-CN"/>
        </w:rPr>
      </w:pPr>
    </w:p>
    <w:p w14:paraId="07681E06">
      <w:pPr>
        <w:numPr>
          <w:ilvl w:val="0"/>
          <w:numId w:val="2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PLC程序实例TCP服务器“FreeTcpClient”功能块，配置服务器IP、端口号，接收数据缓存器起点及接收数据最大长度，发送数据缓存器起点与发送数据长度。</w:t>
      </w:r>
    </w:p>
    <w:p w14:paraId="5F296EAE">
      <w:pPr>
        <w:numPr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175260</wp:posOffset>
            </wp:positionV>
            <wp:extent cx="5385435" cy="3979545"/>
            <wp:effectExtent l="0" t="0" r="9525" b="1333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D00FD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0925C65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DD5918F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3C98A2F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EBD763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DB3E60B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E7C872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7B699A69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86E455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86F4DB6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E1478C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A77157D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410F6E1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0CF895C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794EF2C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143057EF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A7FDC43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6254BD05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50916BD4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4696E5B8">
      <w:pPr>
        <w:pStyle w:val="5"/>
        <w:numPr>
          <w:numId w:val="0"/>
        </w:numPr>
        <w:spacing w:before="32" w:line="242" w:lineRule="auto"/>
        <w:ind w:left="499" w:leftChars="0" w:right="816" w:rightChars="0"/>
        <w:rPr>
          <w:rFonts w:hint="default" w:ascii="Calibri"/>
          <w:lang w:val="en-US" w:eastAsia="zh-CN"/>
        </w:rPr>
      </w:pPr>
    </w:p>
    <w:p w14:paraId="2CD4B967">
      <w:pPr>
        <w:numPr>
          <w:ilvl w:val="0"/>
          <w:numId w:val="2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调试助手选择TCP Server 配置服务器IP地址及端口号后打开服务器，PLC客户端连接服务器，PLC客户端可以根据xConnectSeverSuc引脚状态判断是否连接成功。</w:t>
      </w:r>
    </w:p>
    <w:p w14:paraId="684BAE8A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6B101DEC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718004E5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50165</wp:posOffset>
            </wp:positionV>
            <wp:extent cx="6191885" cy="2975610"/>
            <wp:effectExtent l="0" t="0" r="10795" b="1143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056797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2360F582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67D14BE5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611A3F8F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0D5F07C9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3CBF63B9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46658E7D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55E897A8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30F692B5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16F88D5E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4A5A337E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225C49BF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6289E6AB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2425414C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675CF4E9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3266DD4C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6B5B37D7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24E5D8FD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7648B541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28E66E4F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5AD17312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3E58AB83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4.测试String字符串接收：调试助手发送‘abcde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ASCII，PLC接收数据缓存器接收为abcde，数据长度为5，传输基本单位为BYTE(一个ASCII)。</w:t>
      </w:r>
    </w:p>
    <w:p w14:paraId="36394CC0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105410</wp:posOffset>
            </wp:positionV>
            <wp:extent cx="6313170" cy="2461260"/>
            <wp:effectExtent l="0" t="0" r="11430" b="762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27E299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5DE6B170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447C400F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21E351BF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63D94FF6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4349CC70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3BC99ABE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0B669717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2C4E0830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7FCFFB36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p w14:paraId="59A3F49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ED9C1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246739E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注意：接收数据内部缓存区‘arrRecvDataBuffer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不会自动清除，使用时需注意两次数据</w:t>
      </w:r>
    </w:p>
    <w:p w14:paraId="5A20051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重叠接收，建议接收完成后立马清除接收缓存，值赋值给使用变量。</w:t>
      </w:r>
    </w:p>
    <w:p w14:paraId="1C317C9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101600</wp:posOffset>
            </wp:positionV>
            <wp:extent cx="5883275" cy="918845"/>
            <wp:effectExtent l="0" t="0" r="14605" b="1079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37D98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C14B19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7FADB8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13A730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B3AD0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DF930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A910AC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0F595DC">
      <w:pPr>
        <w:numPr>
          <w:ilvl w:val="0"/>
          <w:numId w:val="0"/>
        </w:numPr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5.测试String字符串发送：PLC发送‘abcde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调试助手接收ASCII为‘abcde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，数据长度为5。</w:t>
      </w:r>
    </w:p>
    <w:p w14:paraId="2307DDE3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179070</wp:posOffset>
            </wp:positionV>
            <wp:extent cx="5882005" cy="2626995"/>
            <wp:effectExtent l="0" t="0" r="635" b="952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95AA77">
      <w:pPr>
        <w:pStyle w:val="5"/>
        <w:numPr>
          <w:numId w:val="0"/>
        </w:numPr>
        <w:spacing w:before="32" w:line="242" w:lineRule="auto"/>
        <w:ind w:right="816" w:rightChars="0"/>
      </w:pPr>
    </w:p>
    <w:p w14:paraId="2C6A125B">
      <w:pPr>
        <w:pStyle w:val="5"/>
        <w:numPr>
          <w:numId w:val="0"/>
        </w:numPr>
        <w:spacing w:before="32" w:line="242" w:lineRule="auto"/>
        <w:ind w:right="816" w:rightChars="0"/>
      </w:pPr>
    </w:p>
    <w:p w14:paraId="3200E6BD">
      <w:pPr>
        <w:pStyle w:val="5"/>
        <w:numPr>
          <w:numId w:val="0"/>
        </w:numPr>
        <w:spacing w:before="32" w:line="242" w:lineRule="auto"/>
        <w:ind w:right="816" w:rightChars="0"/>
      </w:pPr>
    </w:p>
    <w:p w14:paraId="016E13EB">
      <w:pPr>
        <w:pStyle w:val="5"/>
        <w:numPr>
          <w:numId w:val="0"/>
        </w:numPr>
        <w:spacing w:before="32" w:line="242" w:lineRule="auto"/>
        <w:ind w:right="816" w:rightChars="0"/>
      </w:pPr>
    </w:p>
    <w:p w14:paraId="6BB37AEB">
      <w:pPr>
        <w:pStyle w:val="5"/>
        <w:numPr>
          <w:numId w:val="0"/>
        </w:numPr>
        <w:spacing w:before="32" w:line="242" w:lineRule="auto"/>
        <w:ind w:right="816" w:rightChars="0"/>
      </w:pPr>
    </w:p>
    <w:p w14:paraId="7D835514">
      <w:pPr>
        <w:pStyle w:val="5"/>
        <w:numPr>
          <w:numId w:val="0"/>
        </w:numPr>
        <w:spacing w:before="32" w:line="242" w:lineRule="auto"/>
        <w:ind w:right="816" w:rightChars="0"/>
      </w:pPr>
    </w:p>
    <w:p w14:paraId="157D302F">
      <w:pPr>
        <w:pStyle w:val="5"/>
        <w:numPr>
          <w:numId w:val="0"/>
        </w:numPr>
        <w:spacing w:before="32" w:line="242" w:lineRule="auto"/>
        <w:ind w:right="816" w:rightChars="0"/>
      </w:pPr>
    </w:p>
    <w:p w14:paraId="2F48005A">
      <w:pPr>
        <w:pStyle w:val="5"/>
        <w:numPr>
          <w:numId w:val="0"/>
        </w:numPr>
        <w:spacing w:before="32" w:line="242" w:lineRule="auto"/>
        <w:ind w:right="816" w:rightChars="0"/>
      </w:pPr>
    </w:p>
    <w:p w14:paraId="44BAA52A">
      <w:pPr>
        <w:pStyle w:val="5"/>
        <w:numPr>
          <w:numId w:val="0"/>
        </w:numPr>
        <w:spacing w:before="32" w:line="242" w:lineRule="auto"/>
        <w:ind w:right="816" w:rightChars="0"/>
      </w:pPr>
    </w:p>
    <w:p w14:paraId="38F60D6D">
      <w:pPr>
        <w:pStyle w:val="5"/>
        <w:numPr>
          <w:numId w:val="0"/>
        </w:numPr>
        <w:spacing w:before="32" w:line="242" w:lineRule="auto"/>
        <w:ind w:right="816" w:rightChars="0"/>
      </w:pPr>
    </w:p>
    <w:p w14:paraId="1F34B411">
      <w:pPr>
        <w:pStyle w:val="5"/>
        <w:numPr>
          <w:numId w:val="0"/>
        </w:numPr>
        <w:spacing w:before="32" w:line="242" w:lineRule="auto"/>
        <w:ind w:right="816" w:rightChars="0"/>
      </w:pPr>
    </w:p>
    <w:p w14:paraId="19620A8F">
      <w:pPr>
        <w:pStyle w:val="5"/>
        <w:numPr>
          <w:numId w:val="0"/>
        </w:numPr>
        <w:spacing w:before="32" w:line="242" w:lineRule="auto"/>
        <w:ind w:right="816" w:rightChars="0"/>
      </w:pPr>
    </w:p>
    <w:p w14:paraId="59A81EB7">
      <w:pPr>
        <w:pStyle w:val="5"/>
        <w:numPr>
          <w:numId w:val="0"/>
        </w:numPr>
        <w:spacing w:before="32" w:line="242" w:lineRule="auto"/>
        <w:ind w:right="816" w:rightChars="0"/>
      </w:pPr>
    </w:p>
    <w:p w14:paraId="106840B3">
      <w:pPr>
        <w:numPr>
          <w:ilvl w:val="0"/>
          <w:numId w:val="0"/>
        </w:numPr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注意：发送数据内部缓存区发送后同样不会自动清除，防止发送数据错误发送数据长度一定要与实际发送长度相同，基本单位为BYTE。</w:t>
      </w:r>
    </w:p>
    <w:p w14:paraId="3EDC677D">
      <w:pPr>
        <w:pStyle w:val="5"/>
        <w:numPr>
          <w:numId w:val="0"/>
        </w:numPr>
        <w:spacing w:before="32" w:line="242" w:lineRule="auto"/>
        <w:ind w:right="816" w:rightChars="0"/>
      </w:pPr>
    </w:p>
    <w:p w14:paraId="048ED879">
      <w:pPr>
        <w:pStyle w:val="5"/>
        <w:numPr>
          <w:numId w:val="0"/>
        </w:numPr>
        <w:spacing w:before="32" w:line="242" w:lineRule="auto"/>
        <w:ind w:right="816" w:rightChars="0"/>
      </w:pPr>
    </w:p>
    <w:p w14:paraId="1ADF671B">
      <w:pPr>
        <w:pStyle w:val="5"/>
        <w:numPr>
          <w:numId w:val="0"/>
        </w:numPr>
        <w:spacing w:before="32" w:line="242" w:lineRule="auto"/>
        <w:ind w:right="816" w:rightChars="0"/>
      </w:pPr>
    </w:p>
    <w:p w14:paraId="3B622BCA">
      <w:pPr>
        <w:pStyle w:val="5"/>
        <w:numPr>
          <w:numId w:val="0"/>
        </w:numPr>
        <w:spacing w:before="32" w:line="242" w:lineRule="auto"/>
        <w:ind w:right="816" w:rightChars="0"/>
      </w:pPr>
    </w:p>
    <w:p w14:paraId="70908141">
      <w:pPr>
        <w:pStyle w:val="5"/>
        <w:numPr>
          <w:numId w:val="0"/>
        </w:numPr>
        <w:spacing w:before="32" w:line="242" w:lineRule="auto"/>
        <w:ind w:right="816" w:rightChars="0"/>
        <w:rPr>
          <w:rFonts w:hint="default" w:ascii="Calibri"/>
          <w:lang w:val="en-US" w:eastAsia="zh-CN"/>
        </w:rPr>
      </w:pPr>
    </w:p>
    <w:sectPr>
      <w:type w:val="continuous"/>
      <w:pgSz w:w="11910" w:h="16840"/>
      <w:pgMar w:top="780" w:right="980" w:bottom="280" w:left="16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F8524A"/>
    <w:multiLevelType w:val="singleLevel"/>
    <w:tmpl w:val="EAF852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1A8F60"/>
    <w:multiLevelType w:val="singleLevel"/>
    <w:tmpl w:val="7A1A8F6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zczZTYyZTg5NTQ3ODJhN2NiNDUxYmZhMGI4YzRjNDcifQ=="/>
  </w:docVars>
  <w:rsids>
    <w:rsidRoot w:val="00896C6A"/>
    <w:rsid w:val="002C4ECD"/>
    <w:rsid w:val="0034045E"/>
    <w:rsid w:val="003B5E64"/>
    <w:rsid w:val="00492EC3"/>
    <w:rsid w:val="00727919"/>
    <w:rsid w:val="007F2739"/>
    <w:rsid w:val="00884339"/>
    <w:rsid w:val="00896C6A"/>
    <w:rsid w:val="0095759F"/>
    <w:rsid w:val="009739A2"/>
    <w:rsid w:val="00B21273"/>
    <w:rsid w:val="00C0210D"/>
    <w:rsid w:val="00C7491D"/>
    <w:rsid w:val="00C764D9"/>
    <w:rsid w:val="00C95B9B"/>
    <w:rsid w:val="00C97C4D"/>
    <w:rsid w:val="00D60820"/>
    <w:rsid w:val="00F249DA"/>
    <w:rsid w:val="00FB1751"/>
    <w:rsid w:val="046078CD"/>
    <w:rsid w:val="0B587AB1"/>
    <w:rsid w:val="1A666320"/>
    <w:rsid w:val="2B5F2682"/>
    <w:rsid w:val="2C2075A9"/>
    <w:rsid w:val="2E0B7CC3"/>
    <w:rsid w:val="2E121AF6"/>
    <w:rsid w:val="311C7A3E"/>
    <w:rsid w:val="36D55DBC"/>
    <w:rsid w:val="3A3E3CDC"/>
    <w:rsid w:val="3A4133E0"/>
    <w:rsid w:val="3B8E1D2D"/>
    <w:rsid w:val="41230975"/>
    <w:rsid w:val="48A702C4"/>
    <w:rsid w:val="4946017E"/>
    <w:rsid w:val="64BF56D9"/>
    <w:rsid w:val="724E1666"/>
    <w:rsid w:val="7880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ind w:left="140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spacing w:before="1"/>
      <w:ind w:left="140"/>
      <w:outlineLvl w:val="1"/>
    </w:pPr>
    <w:rPr>
      <w:rFonts w:ascii="微软雅黑" w:hAnsi="微软雅黑" w:eastAsia="微软雅黑" w:cs="微软雅黑"/>
      <w:b/>
      <w:bCs/>
      <w:sz w:val="28"/>
      <w:szCs w:val="28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500"/>
    </w:pPr>
    <w:rPr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qFormat/>
    <w:uiPriority w:val="10"/>
    <w:pPr>
      <w:spacing w:line="598" w:lineRule="exact"/>
      <w:ind w:left="140"/>
    </w:pPr>
    <w:rPr>
      <w:rFonts w:ascii="微软雅黑" w:hAnsi="微软雅黑" w:eastAsia="微软雅黑" w:cs="微软雅黑"/>
      <w:b/>
      <w:bCs/>
      <w:sz w:val="36"/>
      <w:szCs w:val="36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字符"/>
    <w:basedOn w:val="10"/>
    <w:link w:val="7"/>
    <w:qFormat/>
    <w:uiPriority w:val="99"/>
    <w:rPr>
      <w:rFonts w:ascii="宋体" w:hAnsi="宋体" w:eastAsia="宋体" w:cs="宋体"/>
      <w:sz w:val="18"/>
      <w:szCs w:val="18"/>
      <w:lang w:eastAsia="zh-CN"/>
    </w:rPr>
  </w:style>
  <w:style w:type="character" w:customStyle="1" w:styleId="15">
    <w:name w:val="页脚 字符"/>
    <w:basedOn w:val="10"/>
    <w:link w:val="6"/>
    <w:qFormat/>
    <w:uiPriority w:val="99"/>
    <w:rPr>
      <w:rFonts w:ascii="宋体" w:hAnsi="宋体" w:eastAsia="宋体" w:cs="宋体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611</Words>
  <Characters>813</Characters>
  <Lines>3</Lines>
  <Paragraphs>1</Paragraphs>
  <TotalTime>145</TotalTime>
  <ScaleCrop>false</ScaleCrop>
  <LinksUpToDate>false</LinksUpToDate>
  <CharactersWithSpaces>852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2023-03-13T02:18:00Z</dcterms:created>
  <dc:creator>INOVANCE</dc:creator>
  <cp:lastModifiedBy>不争</cp:lastModifiedBy>
  <dcterms:modified xsi:type="dcterms:W3CDTF">2025-01-21T05:54:33Z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2023-03-13T00:00:00Z</vt:filetime>
  </property>
  <property fmtid="{D5CDD505-2E9C-101B-9397-08002B2CF9AE}" pid="5" name="Producer">
    <vt:lpwstr>Microsoft® Word 2016</vt:lpwstr>
  </property>
  <property fmtid="{D5CDD505-2E9C-101B-9397-08002B2CF9AE}" pid="6" name="KSOProductBuildVer">
    <vt:lpwstr>2052-12.1.0.19770</vt:lpwstr>
  </property>
  <property fmtid="{D5CDD505-2E9C-101B-9397-08002B2CF9AE}" pid="7" name="ICV">
    <vt:lpwstr>2918220833A849E6A6778F9F5309BBBF</vt:lpwstr>
  </property>
  <property fmtid="{D5CDD505-2E9C-101B-9397-08002B2CF9AE}" pid="8" name="KSOTemplateDocerSaveRecord">
    <vt:lpwstr>eyJoZGlkIjoiNzczZTYyZTg5NTQ3ODJhN2NiNDUxYmZhMGI4YzRjNDciLCJ1c2VySWQiOiIxMDE0OTQxNzQyIn0=</vt:lpwstr>
  </property>
</Properties>
</file>